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b/>
          <w:sz w:val="24"/>
          <w:szCs w:val="24"/>
        </w:rPr>
      </w:pPr>
    </w:p>
    <w:p w:rsidR="00597794" w:rsidRPr="009859B0" w:rsidRDefault="003922BE" w:rsidP="00FA6723">
      <w:pPr>
        <w:spacing w:line="480" w:lineRule="auto"/>
        <w:jc w:val="center"/>
        <w:rPr>
          <w:rFonts w:ascii="Times New Roman" w:hAnsi="Times New Roman" w:cs="Times New Roman"/>
          <w:b/>
          <w:sz w:val="24"/>
          <w:szCs w:val="24"/>
        </w:rPr>
      </w:pPr>
      <w:r w:rsidRPr="009859B0">
        <w:rPr>
          <w:rFonts w:ascii="Times New Roman" w:hAnsi="Times New Roman" w:cs="Times New Roman"/>
          <w:b/>
          <w:sz w:val="24"/>
          <w:szCs w:val="24"/>
        </w:rPr>
        <w:t>DNA Technology Laws</w:t>
      </w:r>
    </w:p>
    <w:p w:rsidR="003B673F" w:rsidRPr="009859B0" w:rsidRDefault="003B673F" w:rsidP="00FA6723">
      <w:pPr>
        <w:spacing w:line="480" w:lineRule="auto"/>
        <w:jc w:val="center"/>
        <w:rPr>
          <w:rFonts w:ascii="Times New Roman" w:hAnsi="Times New Roman" w:cs="Times New Roman"/>
          <w:sz w:val="24"/>
          <w:szCs w:val="24"/>
        </w:rPr>
      </w:pPr>
      <w:r w:rsidRPr="009859B0">
        <w:rPr>
          <w:rFonts w:ascii="Times New Roman" w:hAnsi="Times New Roman" w:cs="Times New Roman"/>
          <w:sz w:val="24"/>
          <w:szCs w:val="24"/>
        </w:rPr>
        <w:t>Name</w:t>
      </w:r>
    </w:p>
    <w:p w:rsidR="003B673F" w:rsidRPr="009859B0" w:rsidRDefault="003B673F" w:rsidP="00FA6723">
      <w:pPr>
        <w:spacing w:line="480" w:lineRule="auto"/>
        <w:jc w:val="center"/>
        <w:rPr>
          <w:rFonts w:ascii="Times New Roman" w:hAnsi="Times New Roman" w:cs="Times New Roman"/>
          <w:sz w:val="24"/>
          <w:szCs w:val="24"/>
        </w:rPr>
      </w:pPr>
      <w:r w:rsidRPr="009859B0">
        <w:rPr>
          <w:rFonts w:ascii="Times New Roman" w:hAnsi="Times New Roman" w:cs="Times New Roman"/>
          <w:sz w:val="24"/>
          <w:szCs w:val="24"/>
        </w:rPr>
        <w:t>Institution</w:t>
      </w:r>
    </w:p>
    <w:p w:rsidR="003B673F" w:rsidRPr="009859B0" w:rsidRDefault="003B673F" w:rsidP="00FA6723">
      <w:pPr>
        <w:spacing w:line="480" w:lineRule="auto"/>
        <w:jc w:val="center"/>
        <w:rPr>
          <w:rFonts w:ascii="Times New Roman" w:hAnsi="Times New Roman" w:cs="Times New Roman"/>
          <w:sz w:val="24"/>
          <w:szCs w:val="24"/>
        </w:rPr>
      </w:pPr>
      <w:r w:rsidRPr="009859B0">
        <w:rPr>
          <w:rFonts w:ascii="Times New Roman" w:hAnsi="Times New Roman" w:cs="Times New Roman"/>
          <w:sz w:val="24"/>
          <w:szCs w:val="24"/>
        </w:rPr>
        <w:t>Date</w:t>
      </w:r>
    </w:p>
    <w:p w:rsidR="003B673F" w:rsidRPr="009859B0" w:rsidRDefault="003B673F" w:rsidP="00FA6723">
      <w:pPr>
        <w:spacing w:line="480" w:lineRule="auto"/>
        <w:rPr>
          <w:rFonts w:ascii="Times New Roman" w:hAnsi="Times New Roman" w:cs="Times New Roman"/>
          <w:sz w:val="24"/>
          <w:szCs w:val="24"/>
        </w:rPr>
      </w:pPr>
    </w:p>
    <w:p w:rsidR="003B673F" w:rsidRPr="009859B0" w:rsidRDefault="003B673F" w:rsidP="00FA6723">
      <w:pPr>
        <w:spacing w:line="480" w:lineRule="auto"/>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rPr>
          <w:rFonts w:ascii="Times New Roman" w:hAnsi="Times New Roman" w:cs="Times New Roman"/>
          <w:sz w:val="24"/>
          <w:szCs w:val="24"/>
        </w:rPr>
      </w:pPr>
    </w:p>
    <w:p w:rsidR="003B673F" w:rsidRPr="009859B0" w:rsidRDefault="003B673F" w:rsidP="00FA6723">
      <w:pPr>
        <w:spacing w:line="480" w:lineRule="auto"/>
        <w:jc w:val="center"/>
        <w:rPr>
          <w:rFonts w:ascii="Times New Roman" w:hAnsi="Times New Roman" w:cs="Times New Roman"/>
          <w:b/>
          <w:sz w:val="24"/>
          <w:szCs w:val="24"/>
        </w:rPr>
      </w:pPr>
      <w:r w:rsidRPr="009859B0">
        <w:rPr>
          <w:rFonts w:ascii="Times New Roman" w:hAnsi="Times New Roman" w:cs="Times New Roman"/>
          <w:b/>
          <w:sz w:val="24"/>
          <w:szCs w:val="24"/>
        </w:rPr>
        <w:lastRenderedPageBreak/>
        <w:t>DNA Technology Laws</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In the contemporary scenario, technology has taken the lead in almost every sector leading to tremendous performance and accurate realization of the truth. DNA technology has become the gold standard for carrying our varied forensic investigations in science. These include determining criminal suspects through the Federal Bureau of Investigations. More importantly, different crime labs in the United States have started assembling sophisticated databases, making them overwhelmed with genetic samples' accumulations and may be unable to process them most appropriately while maintaining the desired privacy and confidentiality.  Although DNA screening does not provide thorough proof, it guarantees over 99% accuracy due to errors during testing (Rich, 2018). With this regard, every state is featured with well-defined laws that govern DNA sample collection and data handling. For that reason, this comprehensive research paper will examine the Genetic Information Nondiscrimination Act of 2008 (GINA) as one of the most outstanding DNA technology laws. I strongly support this law because it creates chances for making accurate lifestyle choices and medical decisions without fear of genetic information segregation in health insurance and employment. Although the GINA marked tremendous efforts in deterring discrimination in employment, I do not fully recommend it because it does not include insurance companies, disability insurance, long term care insurance, in addition to other forms of protection protections required by people at risk of a genetic disorder.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Background Information for GINA</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GINA is one of the most important Federal laws that relentlessly seeks to ensure equality in health coverages and employment by eradicating genetic information discrimination. In affiliation with other evident nondiscrimination provisions of the Health Insurance Portability </w:t>
      </w:r>
      <w:r w:rsidRPr="009859B0">
        <w:rPr>
          <w:rFonts w:ascii="Times New Roman" w:hAnsi="Times New Roman" w:cs="Times New Roman"/>
          <w:sz w:val="24"/>
          <w:szCs w:val="24"/>
        </w:rPr>
        <w:lastRenderedPageBreak/>
        <w:t>and Accountability Act (HIPAA)</w:t>
      </w:r>
      <w:r w:rsidR="009859B0" w:rsidRPr="009859B0">
        <w:rPr>
          <w:rFonts w:ascii="Times New Roman" w:hAnsi="Times New Roman" w:cs="Times New Roman"/>
          <w:sz w:val="24"/>
          <w:szCs w:val="24"/>
        </w:rPr>
        <w:t xml:space="preserve">, </w:t>
      </w:r>
      <w:r w:rsidR="009859B0" w:rsidRPr="009859B0">
        <w:rPr>
          <w:rFonts w:ascii="Times New Roman" w:hAnsi="Times New Roman" w:cs="Times New Roman"/>
          <w:sz w:val="24"/>
          <w:szCs w:val="24"/>
        </w:rPr>
        <w:t>(Suter, 2018)</w:t>
      </w:r>
      <w:r w:rsidRPr="009859B0">
        <w:rPr>
          <w:rFonts w:ascii="Times New Roman" w:hAnsi="Times New Roman" w:cs="Times New Roman"/>
          <w:sz w:val="24"/>
          <w:szCs w:val="24"/>
        </w:rPr>
        <w:t xml:space="preserve">, GINA accurately deters health insurers and administrators from illegally accessing the genetic data of an individual and using it for decisions regarding coverage rates as well as other pre-existing conditions.  The law also prevents employers from using genetic information as a basis for recruiting, firing, retaining, or promoting employees (Rich, 2018). GINA is sanctioned into two segments: the laws relating to health coverage (Title I) that took effect in May 2009 and those relating to employment (Title II) taking effect in November 2009. The law required all these titles to have been completed by May 2009 (Suter, 2018).  After taking effect, the GINA would accurately prohibit discrimination based on the genetic information in conjunction with health coverage and employment, regardless of when and where the data was collected. </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Impeccably, the law serves as the breeding ground for protection against discrimination for all Americans. The majority of states have well-distinguished laws that safeguard the people from varied forms of genetic discrimination in health insurance and employment settings</w:t>
      </w:r>
      <w:r w:rsidR="009859B0" w:rsidRPr="009859B0">
        <w:rPr>
          <w:rFonts w:ascii="Times New Roman" w:hAnsi="Times New Roman" w:cs="Times New Roman"/>
          <w:sz w:val="24"/>
          <w:szCs w:val="24"/>
        </w:rPr>
        <w:t xml:space="preserve"> </w:t>
      </w:r>
      <w:r w:rsidR="009859B0" w:rsidRPr="009859B0">
        <w:rPr>
          <w:rFonts w:ascii="Times New Roman" w:hAnsi="Times New Roman" w:cs="Times New Roman"/>
          <w:sz w:val="24"/>
          <w:szCs w:val="24"/>
        </w:rPr>
        <w:t>(Suter, 2018)</w:t>
      </w:r>
      <w:r w:rsidRPr="009859B0">
        <w:rPr>
          <w:rFonts w:ascii="Times New Roman" w:hAnsi="Times New Roman" w:cs="Times New Roman"/>
          <w:sz w:val="24"/>
          <w:szCs w:val="24"/>
        </w:rPr>
        <w:t>. Nevertheless, the ultimate extend of protection varies broadly, and many of them are less accurate than GINA (Rothstein, 2020). The law is based on a mandatory requirement for all entities to meet all applicable requirements and match some necessary and protective State laws.</w:t>
      </w:r>
      <w:r w:rsidR="009859B0" w:rsidRPr="009859B0">
        <w:rPr>
          <w:rFonts w:ascii="Times New Roman" w:hAnsi="Times New Roman" w:cs="Times New Roman"/>
          <w:sz w:val="24"/>
          <w:szCs w:val="24"/>
        </w:rPr>
        <w:t xml:space="preserve"> </w:t>
      </w:r>
      <w:r w:rsidRPr="009859B0">
        <w:rPr>
          <w:rFonts w:ascii="Times New Roman" w:hAnsi="Times New Roman" w:cs="Times New Roman"/>
          <w:sz w:val="24"/>
          <w:szCs w:val="24"/>
        </w:rPr>
        <w:t xml:space="preserve">The GINA is always applicable in defining genetic data of an individual's genetic test, a genetic test of individual family members, and a genetic test of a fetus of any fetus of a mother through assisted reproductive technology (Suter, 2018). More importantly, GINA strives to ensure the accurate manifestation of a disorder in an individual's family members.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Inadequacies</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Although GINA is a determined and well-established law, its coverages do not avail data concerning the sex or age of individuals. It does not reveal genotypes, mutations, as well as </w:t>
      </w:r>
      <w:r w:rsidRPr="009859B0">
        <w:rPr>
          <w:rFonts w:ascii="Times New Roman" w:hAnsi="Times New Roman" w:cs="Times New Roman"/>
          <w:sz w:val="24"/>
          <w:szCs w:val="24"/>
        </w:rPr>
        <w:lastRenderedPageBreak/>
        <w:t xml:space="preserve">chromosomal changes. Under GINA provisions, </w:t>
      </w:r>
      <w:r w:rsidR="009859B0" w:rsidRPr="009859B0">
        <w:rPr>
          <w:rFonts w:ascii="Times New Roman" w:hAnsi="Times New Roman" w:cs="Times New Roman"/>
          <w:sz w:val="24"/>
          <w:szCs w:val="24"/>
        </w:rPr>
        <w:t>barring</w:t>
      </w:r>
      <w:r w:rsidRPr="009859B0">
        <w:rPr>
          <w:rFonts w:ascii="Times New Roman" w:hAnsi="Times New Roman" w:cs="Times New Roman"/>
          <w:sz w:val="24"/>
          <w:szCs w:val="24"/>
        </w:rPr>
        <w:t xml:space="preserve"> discrimination in health coverage based on genetic information does not include disability insurance, life insurance, or long-term insurance (Underhill-Blazey &amp; Klehm, 2020). The law does not prevent health insurers and administrates from collecting and utilizing genetic test outcomes in making payment decisions. Any individual making use of the GINA laws must accurately comply with any of the Federal government's future conditions under research exceptions.  The policy is also inadequate because it does not accurately match with health coverages provided by the health insurer to individuals. As such, the law does not prevent health insurance from defining eligibility for a person about the manifestation of a disorder or illness, and hence it remains biased.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Adequacies</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Under the health insurance (Title I), the GINA fights against discrimination based on all enrollees' genetic information. The law successfully deters health insurers from using genetic information to determine if an individual is eligible for insurance to determine coverage, underwriting, or premium setting decisions (Rothstein, 2020). More importantly, Title I protections of the GINA stretches to Medicaid, Medicare, health insurance, and the Veterans Health Administrations.  Under employment (Title II), the law accurately deters employers from using genetic data in employment decisions, reducing chances for discrimination.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Proposed Changes</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 Notably, genetic screening has recorded an increase in popularity in recent days with advancements in technology and increased crime rates. However, since the test is not for everyone, the GINA should wave out all the affiliated uncertainties based on the understanding that the test can be uninformative and can lead to increased stress and anxiety. GINA laws </w:t>
      </w:r>
      <w:r w:rsidRPr="009859B0">
        <w:rPr>
          <w:rFonts w:ascii="Times New Roman" w:hAnsi="Times New Roman" w:cs="Times New Roman"/>
          <w:sz w:val="24"/>
          <w:szCs w:val="24"/>
        </w:rPr>
        <w:lastRenderedPageBreak/>
        <w:t xml:space="preserve">should be reframed to add value in genetic testing by allowing individuals to take necessary actions to reduce chances for particular diseases.  GINA should certainly provide accurate information about the sex or age of an individual (Rothstein, 2020).  The law should be revised to include routine tests that detect mutations, genotypes, and chromosomal changes. The law must provide a clear indication that all data collected shall be held confidential and used for the intended reasons. The law should be changed to allow health insurers and administrators to access and apply genetic test results to make payment determinations. To ensure compliance with the GINA, event subjects must be serves with well-designed and informative consent forms and a statement ascertaining how the collected information will be made confidential. All practices of GINA must be carried out from an ethical perspective.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Conclusion</w:t>
      </w:r>
    </w:p>
    <w:p w:rsidR="009859B0" w:rsidRDefault="00FA6723" w:rsidP="009859B0">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In summation, GINA's importance in the field of science and research can never be overlooked. Genetic testing is featured with many uncertainties in that it does not fully protect the subjects as it intends (Underhill-Blazey &amp; Klehm, 2020). As evident, GINA seeks to prohibit discrimination in health insurance or employment, an idea that remains quite ironical because the policy does not give room for taking further actions based on the results. Herein, adopting the proposed changes will help create new opportunities for a more individualized and safety-based screening, diagnosis, and treatment of rare common diseases. Employees will be able to use individual information to determine recruitment, firing, or retention of employees for the wellness of their future organization. There will be reduced misuse of genetic data. It will help an individual make healthy lifestyle choices and important medical decisions.</w:t>
      </w:r>
    </w:p>
    <w:p w:rsidR="009859B0" w:rsidRPr="009859B0" w:rsidRDefault="009859B0" w:rsidP="009859B0">
      <w:pPr>
        <w:spacing w:line="480" w:lineRule="auto"/>
        <w:ind w:firstLine="720"/>
        <w:rPr>
          <w:rFonts w:ascii="Times New Roman" w:hAnsi="Times New Roman" w:cs="Times New Roman"/>
          <w:sz w:val="24"/>
          <w:szCs w:val="24"/>
        </w:rPr>
      </w:pPr>
    </w:p>
    <w:p w:rsidR="004602F4" w:rsidRPr="009859B0" w:rsidRDefault="004602F4" w:rsidP="00FA6723">
      <w:pPr>
        <w:spacing w:line="480" w:lineRule="auto"/>
        <w:jc w:val="center"/>
        <w:rPr>
          <w:rFonts w:ascii="Times New Roman" w:hAnsi="Times New Roman" w:cs="Times New Roman"/>
          <w:sz w:val="24"/>
          <w:szCs w:val="24"/>
        </w:rPr>
      </w:pPr>
      <w:r w:rsidRPr="009859B0">
        <w:rPr>
          <w:rFonts w:ascii="Times New Roman" w:hAnsi="Times New Roman" w:cs="Times New Roman"/>
          <w:sz w:val="24"/>
          <w:szCs w:val="24"/>
        </w:rPr>
        <w:lastRenderedPageBreak/>
        <w:t>References</w:t>
      </w:r>
    </w:p>
    <w:p w:rsidR="004602F4" w:rsidRPr="009859B0" w:rsidRDefault="004602F4" w:rsidP="00FA6723">
      <w:pPr>
        <w:spacing w:line="480" w:lineRule="auto"/>
        <w:ind w:left="720" w:hanging="720"/>
        <w:rPr>
          <w:rFonts w:ascii="Times New Roman" w:hAnsi="Times New Roman" w:cs="Times New Roman"/>
          <w:color w:val="222222"/>
          <w:sz w:val="24"/>
          <w:szCs w:val="24"/>
          <w:shd w:val="clear" w:color="auto" w:fill="FFFFFF"/>
        </w:rPr>
      </w:pPr>
      <w:r w:rsidRPr="009859B0">
        <w:rPr>
          <w:rFonts w:ascii="Times New Roman" w:hAnsi="Times New Roman" w:cs="Times New Roman"/>
          <w:color w:val="222222"/>
          <w:sz w:val="24"/>
          <w:szCs w:val="24"/>
          <w:shd w:val="clear" w:color="auto" w:fill="FFFFFF"/>
        </w:rPr>
        <w:t>Rich, K. (2018). Genetic Information Nondiscrimination Act and the Affordable Care Act: When Two Is Better Than One. </w:t>
      </w:r>
      <w:r w:rsidRPr="009859B0">
        <w:rPr>
          <w:rFonts w:ascii="Times New Roman" w:hAnsi="Times New Roman" w:cs="Times New Roman"/>
          <w:i/>
          <w:iCs/>
          <w:color w:val="222222"/>
          <w:sz w:val="24"/>
          <w:szCs w:val="24"/>
          <w:shd w:val="clear" w:color="auto" w:fill="FFFFFF"/>
        </w:rPr>
        <w:t>Genetic testing and molecular biomarkers</w:t>
      </w:r>
      <w:r w:rsidRPr="009859B0">
        <w:rPr>
          <w:rFonts w:ascii="Times New Roman" w:hAnsi="Times New Roman" w:cs="Times New Roman"/>
          <w:color w:val="222222"/>
          <w:sz w:val="24"/>
          <w:szCs w:val="24"/>
          <w:shd w:val="clear" w:color="auto" w:fill="FFFFFF"/>
        </w:rPr>
        <w:t>, </w:t>
      </w:r>
      <w:r w:rsidRPr="009859B0">
        <w:rPr>
          <w:rFonts w:ascii="Times New Roman" w:hAnsi="Times New Roman" w:cs="Times New Roman"/>
          <w:i/>
          <w:iCs/>
          <w:color w:val="222222"/>
          <w:sz w:val="24"/>
          <w:szCs w:val="24"/>
          <w:shd w:val="clear" w:color="auto" w:fill="FFFFFF"/>
        </w:rPr>
        <w:t>22</w:t>
      </w:r>
      <w:r w:rsidRPr="009859B0">
        <w:rPr>
          <w:rFonts w:ascii="Times New Roman" w:hAnsi="Times New Roman" w:cs="Times New Roman"/>
          <w:color w:val="222222"/>
          <w:sz w:val="24"/>
          <w:szCs w:val="24"/>
          <w:shd w:val="clear" w:color="auto" w:fill="FFFFFF"/>
        </w:rPr>
        <w:t>(6), 331-332.</w:t>
      </w:r>
    </w:p>
    <w:p w:rsidR="004602F4" w:rsidRPr="009859B0" w:rsidRDefault="004602F4" w:rsidP="00FA6723">
      <w:pPr>
        <w:spacing w:line="480" w:lineRule="auto"/>
        <w:ind w:left="720" w:hanging="720"/>
        <w:rPr>
          <w:rFonts w:ascii="Times New Roman" w:hAnsi="Times New Roman" w:cs="Times New Roman"/>
          <w:sz w:val="24"/>
          <w:szCs w:val="24"/>
        </w:rPr>
      </w:pPr>
      <w:r w:rsidRPr="009859B0">
        <w:rPr>
          <w:rFonts w:ascii="Times New Roman" w:hAnsi="Times New Roman" w:cs="Times New Roman"/>
          <w:color w:val="222222"/>
          <w:sz w:val="24"/>
          <w:szCs w:val="24"/>
          <w:shd w:val="clear" w:color="auto" w:fill="FFFFFF"/>
        </w:rPr>
        <w:t>Rothstein, M. A. (2020). Can Genetic Nondiscrimination Laws Save Lives?</w:t>
      </w:r>
      <w:bookmarkStart w:id="0" w:name="_GoBack"/>
      <w:bookmarkEnd w:id="0"/>
      <w:r w:rsidRPr="009859B0">
        <w:rPr>
          <w:rFonts w:ascii="Times New Roman" w:hAnsi="Times New Roman" w:cs="Times New Roman"/>
          <w:color w:val="222222"/>
          <w:sz w:val="24"/>
          <w:szCs w:val="24"/>
          <w:shd w:val="clear" w:color="auto" w:fill="FFFFFF"/>
        </w:rPr>
        <w:t>. </w:t>
      </w:r>
      <w:r w:rsidRPr="009859B0">
        <w:rPr>
          <w:rFonts w:ascii="Times New Roman" w:hAnsi="Times New Roman" w:cs="Times New Roman"/>
          <w:i/>
          <w:iCs/>
          <w:color w:val="222222"/>
          <w:sz w:val="24"/>
          <w:szCs w:val="24"/>
          <w:shd w:val="clear" w:color="auto" w:fill="FFFFFF"/>
        </w:rPr>
        <w:t>Hastings Center Report</w:t>
      </w:r>
      <w:r w:rsidRPr="009859B0">
        <w:rPr>
          <w:rFonts w:ascii="Times New Roman" w:hAnsi="Times New Roman" w:cs="Times New Roman"/>
          <w:color w:val="222222"/>
          <w:sz w:val="24"/>
          <w:szCs w:val="24"/>
          <w:shd w:val="clear" w:color="auto" w:fill="FFFFFF"/>
        </w:rPr>
        <w:t>.</w:t>
      </w:r>
    </w:p>
    <w:p w:rsidR="004602F4" w:rsidRPr="009859B0" w:rsidRDefault="004602F4" w:rsidP="00FA6723">
      <w:pPr>
        <w:spacing w:line="480" w:lineRule="auto"/>
        <w:ind w:left="720" w:hanging="720"/>
        <w:rPr>
          <w:rFonts w:ascii="Times New Roman" w:hAnsi="Times New Roman" w:cs="Times New Roman"/>
          <w:color w:val="222222"/>
          <w:sz w:val="24"/>
          <w:szCs w:val="24"/>
          <w:shd w:val="clear" w:color="auto" w:fill="FFFFFF"/>
        </w:rPr>
      </w:pPr>
      <w:r w:rsidRPr="009859B0">
        <w:rPr>
          <w:rFonts w:ascii="Times New Roman" w:hAnsi="Times New Roman" w:cs="Times New Roman"/>
          <w:color w:val="222222"/>
          <w:sz w:val="24"/>
          <w:szCs w:val="24"/>
          <w:shd w:val="clear" w:color="auto" w:fill="FFFFFF"/>
        </w:rPr>
        <w:t>Suter, S. M. (2018). GINA at 10 years: the battle over ‘genetic information’continues in court. </w:t>
      </w:r>
      <w:r w:rsidRPr="009859B0">
        <w:rPr>
          <w:rFonts w:ascii="Times New Roman" w:hAnsi="Times New Roman" w:cs="Times New Roman"/>
          <w:i/>
          <w:iCs/>
          <w:color w:val="222222"/>
          <w:sz w:val="24"/>
          <w:szCs w:val="24"/>
          <w:shd w:val="clear" w:color="auto" w:fill="FFFFFF"/>
        </w:rPr>
        <w:t>Journal of Law and the Biosciences</w:t>
      </w:r>
      <w:r w:rsidRPr="009859B0">
        <w:rPr>
          <w:rFonts w:ascii="Times New Roman" w:hAnsi="Times New Roman" w:cs="Times New Roman"/>
          <w:color w:val="222222"/>
          <w:sz w:val="24"/>
          <w:szCs w:val="24"/>
          <w:shd w:val="clear" w:color="auto" w:fill="FFFFFF"/>
        </w:rPr>
        <w:t>, </w:t>
      </w:r>
      <w:r w:rsidRPr="009859B0">
        <w:rPr>
          <w:rFonts w:ascii="Times New Roman" w:hAnsi="Times New Roman" w:cs="Times New Roman"/>
          <w:i/>
          <w:iCs/>
          <w:color w:val="222222"/>
          <w:sz w:val="24"/>
          <w:szCs w:val="24"/>
          <w:shd w:val="clear" w:color="auto" w:fill="FFFFFF"/>
        </w:rPr>
        <w:t>5</w:t>
      </w:r>
      <w:r w:rsidRPr="009859B0">
        <w:rPr>
          <w:rFonts w:ascii="Times New Roman" w:hAnsi="Times New Roman" w:cs="Times New Roman"/>
          <w:color w:val="222222"/>
          <w:sz w:val="24"/>
          <w:szCs w:val="24"/>
          <w:shd w:val="clear" w:color="auto" w:fill="FFFFFF"/>
        </w:rPr>
        <w:t>(3), 495-526.</w:t>
      </w:r>
    </w:p>
    <w:p w:rsidR="004602F4" w:rsidRPr="009859B0" w:rsidRDefault="004602F4" w:rsidP="00FA6723">
      <w:pPr>
        <w:spacing w:line="480" w:lineRule="auto"/>
        <w:ind w:left="720" w:hanging="720"/>
        <w:rPr>
          <w:rFonts w:ascii="Times New Roman" w:hAnsi="Times New Roman" w:cs="Times New Roman"/>
          <w:color w:val="222222"/>
          <w:sz w:val="24"/>
          <w:szCs w:val="24"/>
          <w:shd w:val="clear" w:color="auto" w:fill="FFFFFF"/>
        </w:rPr>
      </w:pPr>
      <w:r w:rsidRPr="009859B0">
        <w:rPr>
          <w:rFonts w:ascii="Times New Roman" w:hAnsi="Times New Roman" w:cs="Times New Roman"/>
          <w:color w:val="222222"/>
          <w:sz w:val="24"/>
          <w:szCs w:val="24"/>
          <w:shd w:val="clear" w:color="auto" w:fill="FFFFFF"/>
        </w:rPr>
        <w:t>Underhill-Blazey, M., &amp; Klehm, M. R. (2020). Genetic Discrimination: The Genetic Information Nondiscrimination Act's Impact on Practice and Research. </w:t>
      </w:r>
      <w:r w:rsidRPr="009859B0">
        <w:rPr>
          <w:rFonts w:ascii="Times New Roman" w:hAnsi="Times New Roman" w:cs="Times New Roman"/>
          <w:i/>
          <w:iCs/>
          <w:color w:val="222222"/>
          <w:sz w:val="24"/>
          <w:szCs w:val="24"/>
          <w:shd w:val="clear" w:color="auto" w:fill="FFFFFF"/>
        </w:rPr>
        <w:t>Clinical journal of oncology nursing</w:t>
      </w:r>
      <w:r w:rsidRPr="009859B0">
        <w:rPr>
          <w:rFonts w:ascii="Times New Roman" w:hAnsi="Times New Roman" w:cs="Times New Roman"/>
          <w:color w:val="222222"/>
          <w:sz w:val="24"/>
          <w:szCs w:val="24"/>
          <w:shd w:val="clear" w:color="auto" w:fill="FFFFFF"/>
        </w:rPr>
        <w:t>, </w:t>
      </w:r>
      <w:r w:rsidRPr="009859B0">
        <w:rPr>
          <w:rFonts w:ascii="Times New Roman" w:hAnsi="Times New Roman" w:cs="Times New Roman"/>
          <w:i/>
          <w:iCs/>
          <w:color w:val="222222"/>
          <w:sz w:val="24"/>
          <w:szCs w:val="24"/>
          <w:shd w:val="clear" w:color="auto" w:fill="FFFFFF"/>
        </w:rPr>
        <w:t>24</w:t>
      </w:r>
      <w:r w:rsidRPr="009859B0">
        <w:rPr>
          <w:rFonts w:ascii="Times New Roman" w:hAnsi="Times New Roman" w:cs="Times New Roman"/>
          <w:color w:val="222222"/>
          <w:sz w:val="24"/>
          <w:szCs w:val="24"/>
          <w:shd w:val="clear" w:color="auto" w:fill="FFFFFF"/>
        </w:rPr>
        <w:t>(2), 135-137.</w:t>
      </w:r>
    </w:p>
    <w:sectPr w:rsidR="004602F4" w:rsidRPr="009859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CD6" w:rsidRDefault="00982CD6" w:rsidP="003B673F">
      <w:pPr>
        <w:spacing w:after="0" w:line="240" w:lineRule="auto"/>
      </w:pPr>
      <w:r>
        <w:separator/>
      </w:r>
    </w:p>
  </w:endnote>
  <w:endnote w:type="continuationSeparator" w:id="0">
    <w:p w:rsidR="00982CD6" w:rsidRDefault="00982CD6" w:rsidP="003B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CD6" w:rsidRDefault="00982CD6" w:rsidP="003B673F">
      <w:pPr>
        <w:spacing w:after="0" w:line="240" w:lineRule="auto"/>
      </w:pPr>
      <w:r>
        <w:separator/>
      </w:r>
    </w:p>
  </w:footnote>
  <w:footnote w:type="continuationSeparator" w:id="0">
    <w:p w:rsidR="00982CD6" w:rsidRDefault="00982CD6" w:rsidP="003B6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01030967"/>
      <w:docPartObj>
        <w:docPartGallery w:val="Page Numbers (Top of Page)"/>
        <w:docPartUnique/>
      </w:docPartObj>
    </w:sdtPr>
    <w:sdtEndPr>
      <w:rPr>
        <w:noProof/>
      </w:rPr>
    </w:sdtEndPr>
    <w:sdtContent>
      <w:p w:rsidR="003B673F" w:rsidRPr="003B673F" w:rsidRDefault="003B673F">
        <w:pPr>
          <w:pStyle w:val="Header"/>
          <w:jc w:val="right"/>
          <w:rPr>
            <w:rFonts w:ascii="Times New Roman" w:hAnsi="Times New Roman" w:cs="Times New Roman"/>
            <w:sz w:val="24"/>
            <w:szCs w:val="24"/>
          </w:rPr>
        </w:pPr>
        <w:r w:rsidRPr="003B673F">
          <w:rPr>
            <w:rFonts w:ascii="Times New Roman" w:hAnsi="Times New Roman" w:cs="Times New Roman"/>
            <w:sz w:val="24"/>
            <w:szCs w:val="24"/>
          </w:rPr>
          <w:fldChar w:fldCharType="begin"/>
        </w:r>
        <w:r w:rsidRPr="003B673F">
          <w:rPr>
            <w:rFonts w:ascii="Times New Roman" w:hAnsi="Times New Roman" w:cs="Times New Roman"/>
            <w:sz w:val="24"/>
            <w:szCs w:val="24"/>
          </w:rPr>
          <w:instrText xml:space="preserve"> PAGE   \* MERGEFORMAT </w:instrText>
        </w:r>
        <w:r w:rsidRPr="003B673F">
          <w:rPr>
            <w:rFonts w:ascii="Times New Roman" w:hAnsi="Times New Roman" w:cs="Times New Roman"/>
            <w:sz w:val="24"/>
            <w:szCs w:val="24"/>
          </w:rPr>
          <w:fldChar w:fldCharType="separate"/>
        </w:r>
        <w:r w:rsidR="009859B0">
          <w:rPr>
            <w:rFonts w:ascii="Times New Roman" w:hAnsi="Times New Roman" w:cs="Times New Roman"/>
            <w:noProof/>
            <w:sz w:val="24"/>
            <w:szCs w:val="24"/>
          </w:rPr>
          <w:t>6</w:t>
        </w:r>
        <w:r w:rsidRPr="003B673F">
          <w:rPr>
            <w:rFonts w:ascii="Times New Roman" w:hAnsi="Times New Roman" w:cs="Times New Roman"/>
            <w:noProof/>
            <w:sz w:val="24"/>
            <w:szCs w:val="24"/>
          </w:rPr>
          <w:fldChar w:fldCharType="end"/>
        </w:r>
      </w:p>
    </w:sdtContent>
  </w:sdt>
  <w:p w:rsidR="003B673F" w:rsidRPr="003B673F" w:rsidRDefault="003B673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BE"/>
    <w:rsid w:val="00075B65"/>
    <w:rsid w:val="000D6C13"/>
    <w:rsid w:val="001B0A58"/>
    <w:rsid w:val="00200A42"/>
    <w:rsid w:val="003922BE"/>
    <w:rsid w:val="003B673F"/>
    <w:rsid w:val="004602F4"/>
    <w:rsid w:val="004E67C1"/>
    <w:rsid w:val="00561FE9"/>
    <w:rsid w:val="00597794"/>
    <w:rsid w:val="006824FA"/>
    <w:rsid w:val="007646DF"/>
    <w:rsid w:val="0078787D"/>
    <w:rsid w:val="008C54EC"/>
    <w:rsid w:val="008E592C"/>
    <w:rsid w:val="00982CD6"/>
    <w:rsid w:val="009859B0"/>
    <w:rsid w:val="009C6C26"/>
    <w:rsid w:val="00A114CD"/>
    <w:rsid w:val="00C124FB"/>
    <w:rsid w:val="00C57B4E"/>
    <w:rsid w:val="00F00191"/>
    <w:rsid w:val="00F048B5"/>
    <w:rsid w:val="00FA6723"/>
    <w:rsid w:val="00FC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D898"/>
  <w15:chartTrackingRefBased/>
  <w15:docId w15:val="{9B7697AB-8EBE-4DBB-B813-A891F460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3F"/>
  </w:style>
  <w:style w:type="paragraph" w:styleId="Footer">
    <w:name w:val="footer"/>
    <w:basedOn w:val="Normal"/>
    <w:link w:val="FooterChar"/>
    <w:uiPriority w:val="99"/>
    <w:unhideWhenUsed/>
    <w:rsid w:val="003B6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2021-03-01T03:00:00Z</dcterms:created>
  <dcterms:modified xsi:type="dcterms:W3CDTF">2021-03-01T03:00:00Z</dcterms:modified>
</cp:coreProperties>
</file>